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tbl>
      <w:tblPr>
        <w:jc w:val="left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</w:tblBorders>
      </w:tblPr>
      <w:tblGrid>
        <w:gridCol w:w="2409"/>
        <w:gridCol w:w="3487"/>
        <w:gridCol w:w="849"/>
        <w:gridCol w:w="709"/>
        <w:gridCol w:w="8366"/>
      </w:tblGrid>
      <w:tr>
        <w:trPr>
          <w:trHeight w:hRule="atLeast" w:val="921"/>
          <w:cantSplit w:val="false"/>
        </w:trPr>
        <w:tc>
          <w:tcPr>
            <w:tcW w:type="dxa" w:w="24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921"/>
          <w:cantSplit w:val="false"/>
        </w:trPr>
        <w:tc>
          <w:tcPr>
            <w:tcW w:type="dxa" w:w="24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  <w:t>Критерий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  <w:t>Показатели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Да(1балл)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(0балл)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  <w:t>Выявленная проблема или подтверждение показателя</w:t>
            </w:r>
          </w:p>
        </w:tc>
      </w:tr>
      <w:tr>
        <w:trPr>
          <w:trHeight w:hRule="atLeast" w:val="634"/>
          <w:cantSplit w:val="false"/>
        </w:trPr>
        <w:tc>
          <w:tcPr>
            <w:tcW w:type="dxa" w:w="2409"/>
            <w:vMerge w:val="restart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Соответствие нормативной базы ДОО требованиям ФГОС дошкольного образования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в ДОУ плана-графика введения ФГОС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приказ № 21  от 15.03.2014г.  О внедрении федеральных государственных образовательных стандартов.</w:t>
            </w:r>
          </w:p>
        </w:tc>
      </w:tr>
      <w:tr>
        <w:trPr>
          <w:trHeight w:hRule="atLeast" w:val="149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Создание в ДОУ рабочей группы (команды) по введению ФГОС дошкольного образования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приказ № 25 От 15.03.2014г. о создание в ДОУ рабочей группы (команды) по введению ФГОС дошкольного образования</w:t>
            </w:r>
          </w:p>
        </w:tc>
      </w:tr>
      <w:tr>
        <w:trPr>
          <w:trHeight w:hRule="atLeast" w:val="1823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нормативно-правовых документов по введенияю ФГОС федерального, краевого, муниципального уровней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Приказ Министерства образования и науки РФ  от 17.10.2013г., № 1155 об утверждении ФГОС ДО</w:t>
            </w:r>
          </w:p>
        </w:tc>
      </w:tr>
      <w:tr>
        <w:trPr>
          <w:trHeight w:hRule="atLeast" w:val="1035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следующих документов в ДОО с внесенными изменениями: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138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Устав ДОУ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Устав разработан и действует в соответствии ст. 25  Федерального  закона "Об Образовании  Российской Федерации". </w:t>
            </w:r>
          </w:p>
        </w:tc>
      </w:tr>
      <w:tr>
        <w:trPr>
          <w:trHeight w:hRule="atLeast" w:val="210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должностные инструкции, составленные в соответствии с новыми тарифно-квалификационными требованиями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"Квалификационные характеристики должностей работников образования", утвержденные приказом Министерства здравоохранения и социального развития Российской Федерации от 26 августа 2010 г. № 761н, с изменениями, внесенными приказом Министерства здравоохранения и социального развития Российской Федерации от 31 мая 2011 г. N 448н  Приказ № 2 от 11.01.2012г. "О внесении изменения в должностные инструкции".</w:t>
            </w:r>
          </w:p>
        </w:tc>
      </w:tr>
      <w:tr>
        <w:trPr>
          <w:trHeight w:hRule="atLeast" w:val="2513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локальные акты, регламентирующие установление заработной платы работникам, в том числе стимулирующих надбавок и доплат, порядка и размеров премирования в условиях реализации ФГОС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26"/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«Положение о выплатах стимулирующего характера работникам образовательных учреждений» , положение об оплате труда работников Муниципального бюджетного дошкольного образовательного учреждения « Детский  сад № 11 «Колокольчик»</w:t>
            </w:r>
          </w:p>
        </w:tc>
      </w:tr>
      <w:tr>
        <w:trPr>
          <w:trHeight w:hRule="atLeast" w:val="3015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договор о предоставлении образовательной услуги с учетом новых нормативно-правовых актов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Договор о взаимоотношениях между муниципальным дошкольным образовательным учреждением, реализующим основную общеобразовательную программу дошкольного образования, и родителем (законным представителем).</w:t>
              <w:br/>
            </w:r>
          </w:p>
        </w:tc>
      </w:tr>
      <w:tr>
        <w:trPr>
          <w:trHeight w:hRule="atLeast" w:val="923"/>
          <w:cantSplit w:val="false"/>
        </w:trPr>
        <w:tc>
          <w:tcPr>
            <w:tcW w:type="dxa" w:w="2409"/>
            <w:vMerge w:val="restart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Кадровое обеспечение ФГОС ДО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Укомплектованность ДОУ педагогическими кадрами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>
        <w:trPr>
          <w:trHeight w:hRule="atLeast" w:val="1714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специалистов, обеспечивающих оздоровительную и коррекционную работу с детьми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   3 педагога,1 педагог – психолог, 1 музыкальный руководитель</w:t>
            </w:r>
          </w:p>
        </w:tc>
      </w:tr>
      <w:tr>
        <w:trPr>
          <w:trHeight w:hRule="atLeast" w:val="1928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квалификации иных работников (для каждой занимаемой должности соответствие квалификационным требованиям)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>
        <w:trPr>
          <w:trHeight w:hRule="atLeast" w:val="1917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квалификации педагогических работников (для каждой занимаемой должности соответствие квалификационным требованиям)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  <w:tr>
        <w:trPr>
          <w:trHeight w:hRule="atLeast" w:val="2805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Диссеминация (распространение) педагогического опыта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 2013г. на уровне ДОО - в разных формах методической работы, направленной  на распространение пед. опыта участвовали 11 педагогов, на уровне кожууна- 10 педагогов, 5 педагогов провели мастер- класс для воспитателей кожууна на КМО по созданию предметно - развивающей среды в ДОУ в соответствии с ФГТ и социально – личностному развитию дошкольников, 2 педагога участвовали всеминаре по вопросу мониторинга детского развития в соответствии с ФГТ  публикации в ж «Башкы» №4. 12г ( 6 педагогов), интернет –сайты ЖелтухинойС.З,  ПикусТ.Е.,  Саая С.Т., Чаш – оол Ч.О.</w:t>
            </w:r>
          </w:p>
        </w:tc>
      </w:tr>
      <w:tr>
        <w:trPr>
          <w:trHeight w:hRule="atLeast" w:val="117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Непрерывность профессионального развития педагогов: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2745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Разработка диагностического инструментария для выявления профессиональных затруднений педагогов в период перехода на ФГОС. Проведение анкетирования.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проведена диагностика  образовательных потребностей и профессиональных затруднений педагогов ДОО в период  введения ФГОС: выявленна степень затруднений в % по данным направлениям- высокая - 31%, средняя- 61%, низкая - 8%,</w:t>
            </w:r>
          </w:p>
        </w:tc>
      </w:tr>
      <w:tr>
        <w:trPr>
          <w:trHeight w:hRule="atLeast" w:val="1249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  плана-графика поэтапного повышения квалификации педагогов (по мере введения ФГОС )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Приказ № 179д от 14.02.2014 г. "Об утверждении плана по подготовке к введениюфедерального государственного образовательного стандарта в Р.Т.</w:t>
            </w:r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Приказ № 10  от 26.03.2014 г»  О поэтапном повышении квалификации педагогов МБДОУ (по мере введения ФГОС )</w:t>
            </w:r>
          </w:p>
        </w:tc>
      </w:tr>
      <w:tr>
        <w:trPr>
          <w:trHeight w:hRule="atLeast" w:val="1834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плана (раздела плана) работы, обеспечивающей организационное и методическое сопровождение введения ФГОС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70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Приказ № 9 от 25.03.2014 г. "Об утверждении плана (раздела плана) работы, обеспечивающей организационное и методическое сопровождение введения ФГОС</w:t>
            </w:r>
          </w:p>
        </w:tc>
      </w:tr>
      <w:tr>
        <w:trPr>
          <w:trHeight w:hRule="atLeast" w:val="2025"/>
          <w:cantSplit w:val="false"/>
        </w:trPr>
        <w:tc>
          <w:tcPr>
            <w:tcW w:type="dxa" w:w="2409"/>
            <w:vMerge w:val="restart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Материально-техническое обеспечение введения ФГОС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Соответствие материально-технической базы реализации ООП ДО действующим санитарно-эпидемиологическим правилам и нормативам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70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материально-техническая база ДОУ соответствует действующим санитарно-эпидемиологическим правилам и нормативам  СанПиН 2.4.1.3049-13  Наличие заключения Роспотребнадзора  от 23.10.2012г. №2273800</w:t>
              <w:br/>
              <w:br/>
            </w:r>
          </w:p>
        </w:tc>
      </w:tr>
      <w:tr>
        <w:trPr>
          <w:trHeight w:hRule="atLeast" w:val="1658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Соответствие материально-технической базы реализации ООП ДО действующим правилам пожарной и электробезопасности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проведены проверки пожнадзора , замечаний нет, акта  от 15.10.2013г. Отдел Государственного пожарного надзора по г. </w:t>
            </w:r>
          </w:p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Шагонар</w:t>
            </w:r>
          </w:p>
        </w:tc>
      </w:tr>
      <w:tr>
        <w:trPr>
          <w:trHeight w:hRule="atLeast" w:val="1197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Соответствие материально-технической базы реализации ООП ДО требованиям охраны труда воспитанников и работников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проверка Государственной инспекции труда в Р.Т. от 24.12.2008г.№58-н результаты по охране труда на соответсвие мест –</w:t>
            </w:r>
          </w:p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замечания исправлены </w:t>
            </w:r>
          </w:p>
        </w:tc>
      </w:tr>
      <w:tr>
        <w:trPr>
          <w:trHeight w:hRule="atLeast" w:val="5295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Соответствие требованиям к материально-техническому обеспечению программы (учебно-методический комплект, оборудование, оснащение (предметы)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 наличии кабинеты:методический, оснащенный необходимым оборудованием и материалами для оказания методической помощи в работе педагогов ДОУ, укомплектован мультимедийным оборудованием, аудио- и видеоматериалами,  методической и детской литературой, картинами и дидактическими материалами. учителя – логопеда,  оборудованный для проведения коррекционной работы с детьми с ОНР, музыкальный зал оснащенный современным техническим оборудованием, фонотекой  и музыкально - дидактическими игрушками, , оборудованный необходимыми материалами для проведения физкультурно- оздоровительной работы, спортивная площадка с физкультурным оборудованием, методический кабинет Группы оснащены мебелью с учетом антропометрических данных детей. Образовательное пространство в группах оснащено средствами обучения и воспитания (в том числе техническими: телевизоры, dvd -приставками),  игровым, спортивным, оздоровительным оборудованием, инвентарем для организации различных видов детской деятельности в соответствии с возрастом детей.</w:t>
            </w:r>
          </w:p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1114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Соблюдение требований к развивающей предметно-пространственной среде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соблюдены, не было замечаний при приемке МДОУ при приемке к новому учебному году 2013г.</w:t>
            </w:r>
          </w:p>
        </w:tc>
      </w:tr>
      <w:tr>
        <w:trPr>
          <w:trHeight w:hRule="atLeast" w:val="2269"/>
          <w:cantSplit w:val="false"/>
        </w:trPr>
        <w:tc>
          <w:tcPr>
            <w:tcW w:type="dxa" w:w="2409"/>
            <w:vMerge w:val="restart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Психолого-педагогические условия               введения ФГОС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плана консультаций педагогических работников и родителей по вопросам охраны здоровья детей и образования, в том числе инклюзивного (в случае его организации)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  <w:jc w:val="center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 консультаций педагогических работников и родителей утвержден в годовом плане  на 2013-2014 учебный год, утвержденный на педагогическом совете № 1, от 02.09..2013 г. </w:t>
            </w:r>
          </w:p>
        </w:tc>
      </w:tr>
      <w:tr>
        <w:trPr>
          <w:trHeight w:hRule="atLeast" w:val="2399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Проведение педагогической диагностики (мониторинга) развития детей для решения задач психологического сопровождения и квалифицированной коррекции их развития 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будет производится в соотвествии с требованиями  ФГОС в 2014,2015 году</w:t>
            </w:r>
          </w:p>
        </w:tc>
      </w:tr>
      <w:tr>
        <w:trPr>
          <w:trHeight w:hRule="atLeast" w:val="2265"/>
          <w:cantSplit w:val="false"/>
        </w:trPr>
        <w:tc>
          <w:tcPr>
            <w:tcW w:type="dxa" w:w="2409"/>
            <w:vMerge w:val="restart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Финансово-экономическое обеспечение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системы оплаты труда работников в соответствии с требованиями ФГОС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Постановление Правительства Республики Тыва «О внесении изменений в постановление Правительства Республики Тыва «Об оплате труда работников государственных учреждений образования Республики Тыва»»,  от 8 мая 2013 года «О внесении изменений в постановление Правительства Республики Тыва «Об оплате труда работников государственных учреждений образования Республики Тыва»», от 12 декабря 2013 года №723 « О внесении изменений в постановление Правительства Республики Тыва  «Об оплате труда работников государственных учреждений образования Республики Тыва»», письма Министерства образования и науки Республики Тыва от 20 сентября 2013 года №5126 Приказ от 26 декабря 2013 года «О внесении изменений  в приказ Министерства образования, науки и молодежной политики Республики Тыва, постановления администрации Улуг-Хемского кожууна от 26 декабря 2013 года «О внесении изменений в постановление от 24 сентября 2009 года №363 «О введении новой системы оплаты труда работников учреждений Управления образования администрации муниципального района «Улуг-Хемский кожуун Республики Тыва», приказа Управления образования  от 13 января 2014 года №     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Об утверждении положения о выплатах стимулирующего характера работникам образовательных учреждений»</w:t>
            </w:r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>
        <w:trPr>
          <w:trHeight w:hRule="atLeast" w:val="585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системы мотивации и стимулирования труда педагогических работников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numPr>
                <w:ilvl w:val="0"/>
                <w:numId w:val="1"/>
              </w:numPr>
              <w:shd w:fill="FFFFFF" w:val="clear"/>
              <w:spacing w:after="0" w:before="0" w:line="100" w:lineRule="atLeast"/>
              <w:jc w:val="both"/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Указа Президента Российской Федерации от 7 мая 2012 года №597 «О мероприятиях по реализации государственной социальной политики» и в соответствии с Трудовым кодексом Российской Федерации, Федеральным законом от 29 декабря 2012 года № 273-ФЗ «Об образовании Российской Федерации», Постановлением Правительства Республики Тыва от 7 февраля 2008 г №58 «Об утверждении Комплексного проекта модернизации образования», а также постановлениями Правительства Республики Тыва от 12 декабря 2008 года №720 «О введении новых систем оплаты труда работников государственных учреждений Республики Тыва», от 24 марта 2009 г №107 «Об утверждении размеров должностных окладов по общеотраслевым должностям руководителей, специалистов, служащих, окладов по общеотраслевым профессиям рабочих, по профессиям высококвалифицированных рабочих, занятых на важных и ответственных работах», от 4 мая 2009 г. №179 «Об оплате труда работников государственных учреждений образования РТ»», от 30 января 2013 года  «О внесении изменений в постановление Правительства Республики Тыва «Об оплате труда работников государственных учреждений образования Республики Тыва»»,  от 8 мая 2013 года «О внесении изменений в постановление Правительства Республики Тыва «Об оплате труда работников государственных учреждений образования Республики Тыва»», от 12 декабря 2013 года №723 « О внесении изменений в постановление Правительства Республики Тыва  «Об оплате труда работников государственных учреждений образования Республики Тыва»», письма Министерства образования и науки Республики Тыва от 20 сентября 2013 года №5126, приказа Министерства образования, науки и молодежной политики Республики Тыва от 8 мая 2009 года №366/д «Об утверждении методических рекомендаций, положений и инструкций по реализации мероприятий перехода на новую систему оплаты труда»,  приказов  Министерства образования и науки Республики Тыва от 10 декабря 2013 года №1456/д  и  от 26 декабря 2013 года «О внесении изменений  в приказ Министерства образования, науки и молодежной политики Республики Тыва от 8 мая 2009 года №366/д «Об утверждении методических рекомендаций, положений и инструкций по реализации мероприятий перехода на новую систему оплаты труда», постановления председателя администрации Улуг-Хемского кожууна от 24 сентября 2009 года№363 « О введении новой системы оплаты труда работников учреждений образования администрации муниципального района «Улуг-Хемский кожуун Республики Тыва» и решения Хурала Представителей Улуг-Хемского кожууна РТ №038 от 30.09.09 года «Об оплате труда работников учреждений образования в целях совершенствования системы оплаты труда в муниципальных учреждениях образования муниципального района «Улуг-Хемский кожуун Республики Тыва», постановления администрации Улуг-Хемского кожууна от 26 декабря 2013 года «О внесении изменений в постановление от 24 сентября 2009 года №363 «О введении новой системы оплаты труда работников учреждений Управления образования администрации муниципального района «Улуг-Хемский кожуун Республики Тыва», приказа Управления образования  от 13 января 2014 года №     </w:t>
            </w: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Об утверждении положения о выплатах стимулирующего характера работникам образовательных учреждений»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Считать утратившими силу  пункт 3 приказа Управления образования от 6 октября 2009 года №333/1 «О введении новой системы оплаты труда»,  и пункт 1 приказа Управления образования от 29 декабря 2009 года №400/1 «О внесении изменений  и дополнений в приказ Управления образования №333/1 от 6.10.2009 года.</w:t>
            </w:r>
          </w:p>
          <w:p>
            <w:pPr>
              <w:pStyle w:val="style0"/>
              <w:spacing w:after="0" w:before="0" w:line="100" w:lineRule="atLeast"/>
              <w:ind w:hanging="0" w:left="644" w:right="0"/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Приказ №10 от 15.01.2014г. «О назначении стимулирующих выплат»</w:t>
            </w:r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207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в смете ДОО расходов на средства обучения и воспитания, соответствующих материалов для реализации Программы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финансово-зозяйственной деятельности на 2014г. от 09.01.2014г. утвержденный начальником  управления образования Улуг-Хемского кожууна Монгуш А.А.</w:t>
            </w:r>
          </w:p>
        </w:tc>
      </w:tr>
      <w:tr>
        <w:trPr>
          <w:trHeight w:hRule="atLeast" w:val="2052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в смете ДОО расходов, связанных с дополнительным профессиональным образованием руководящих и педагогических работников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Расходы, связанные  с дополнительным профессиональным образованием руководящих и педагогических работников  производятся педагогами самостоятельно.</w:t>
            </w:r>
          </w:p>
        </w:tc>
      </w:tr>
      <w:tr>
        <w:trPr>
          <w:trHeight w:hRule="atLeast" w:val="3533"/>
          <w:cantSplit w:val="false"/>
        </w:trPr>
        <w:tc>
          <w:tcPr>
            <w:tcW w:type="dxa" w:w="2409"/>
            <w:vMerge w:val="restart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Организационное обеспечение введения ФГОС 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Использование информационных ресурсов образовательного учреждения (сайт, Интернет-страничка и т.д.) для обеспечения широкого, постоянного и устойчивого доступа участников образовательного процесса к информации, связанной с реализацией Программы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функционирует сайт, адрес сайта: </w:t>
            </w:r>
            <w:hyperlink r:id="rId2">
              <w:r>
                <w:rPr>
                  <w:rStyle w:val="style16"/>
                  <w:color w:val="00000A"/>
                  <w:sz w:val="28"/>
                  <w:szCs w:val="28"/>
                  <w:u w:val="none"/>
                </w:rPr>
                <w:t>http://nsportal.ru/site/mbdou-detskiy-sad-kombinirovannogo-vida-no2-skazka</w:t>
              </w:r>
            </w:hyperlink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1902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Информирование участников образовательного процесса и общественности по ключевым позициям введения ФГОС 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 раздела «ФГОС ДО» на  сайте, вся информация располагаемая на сайте МБДОУ , обновляется регулярно (сайт:</w:t>
            </w:r>
            <w:r>
              <w:rPr>
                <w:sz w:val="28"/>
                <w:szCs w:val="28"/>
              </w:rPr>
              <w:t xml:space="preserve"> </w:t>
            </w:r>
            <w:hyperlink r:id="rId3">
              <w:r>
                <w:rPr>
                  <w:rStyle w:val="style16"/>
                  <w:b/>
                  <w:color w:val="00000A"/>
                  <w:sz w:val="20"/>
                  <w:szCs w:val="20"/>
                  <w:u w:val="none"/>
                </w:rPr>
                <w:t>http://nsportal.ru/site/mbdou-detskiy-sad-kombinirovannogo-vida-no2-skazka</w:t>
              </w:r>
            </w:hyperlink>
            <w:r>
              <w:rPr>
                <w:b/>
                <w:sz w:val="20"/>
                <w:szCs w:val="20"/>
              </w:rPr>
              <w:t>)</w:t>
            </w:r>
          </w:p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</w:tr>
      <w:tr>
        <w:trPr>
          <w:trHeight w:hRule="atLeast" w:val="3540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Изучение мнения родителей (законных представителей обучающихся), работодателей по вопросам введения новых стандартов. Проведение анкетирования  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Cs/>
                <w:sz w:val="27"/>
                <w:szCs w:val="27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Оформлен информационный стенд для родителей « «В ногу со временем: «ФГОС ДО», имеются анкеты, но родители еще не опрошены</w:t>
            </w:r>
          </w:p>
        </w:tc>
      </w:tr>
      <w:tr>
        <w:trPr>
          <w:trHeight w:hRule="atLeast" w:val="1665"/>
          <w:cantSplit w:val="false"/>
        </w:trPr>
        <w:tc>
          <w:tcPr>
            <w:tcW w:type="dxa" w:w="2409"/>
            <w:vMerge w:val="continue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Использование собственного сайта или других Интернет-ресурсов для публикации и размещения детских образовательных продуктов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вся информация регулярно выставляется на сайте МДОУ (сайт: </w:t>
            </w:r>
            <w:hyperlink r:id="rId4">
              <w:r>
                <w:rPr>
                  <w:rStyle w:val="style16"/>
                  <w:b/>
                  <w:color w:val="00000A"/>
                  <w:sz w:val="20"/>
                  <w:szCs w:val="20"/>
                  <w:u w:val="none"/>
                </w:rPr>
                <w:t>http://nsportal.ru/site/mbdou-detskiy-sad-kombinirovannogo-vida-no2-skazka</w:t>
              </w:r>
            </w:hyperlink>
            <w:r>
              <w:rPr/>
              <w:t>)</w:t>
            </w:r>
          </w:p>
        </w:tc>
      </w:tr>
      <w:tr>
        <w:trPr>
          <w:trHeight w:hRule="atLeast" w:val="912"/>
          <w:cantSplit w:val="false"/>
        </w:trPr>
        <w:tc>
          <w:tcPr>
            <w:tcW w:type="dxa" w:w="24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8366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Verdana" w:cs="Times New Roman" w:eastAsia="Times New Roman" w:hAnsi="Verdana"/>
                <w:sz w:val="16"/>
                <w:szCs w:val="16"/>
                <w:lang w:eastAsia="ru-RU"/>
              </w:rPr>
            </w:r>
          </w:p>
        </w:tc>
      </w:tr>
      <w:tr>
        <w:trPr>
          <w:trHeight w:hRule="atLeast" w:val="1834"/>
          <w:cantSplit w:val="false"/>
        </w:trPr>
        <w:tc>
          <w:tcPr>
            <w:tcW w:type="dxa" w:w="24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type="dxa" w:w="3487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готовности:</w:t>
            </w:r>
          </w:p>
        </w:tc>
        <w:tc>
          <w:tcPr>
            <w:tcW w:type="dxa" w:w="84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type="dxa" w:w="709"/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28" w:before="28" w:line="100" w:lineRule="atLeast"/>
            </w:pPr>
            <w:r>
              <w:rPr>
                <w:rFonts w:ascii="Verdana" w:cs="Times New Roman" w:eastAsia="Times New Roman" w:hAnsi="Verdana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type="dxa" w:w="8366"/>
            <w:tcBorders>
              <w:bottom w:color="000001" w:space="0" w:sz="6" w:val="single"/>
              <w:right w:color="000001" w:space="0" w:sz="6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pStyle w:val="style0"/>
      </w:pPr>
      <w:r>
        <w:rPr/>
      </w:r>
    </w:p>
    <w:sectPr>
      <w:headerReference r:id="rId5" w:type="default"/>
      <w:type w:val="nextPage"/>
      <w:pgSz w:h="11906" w:orient="landscape" w:w="16838"/>
      <w:pgMar w:bottom="850" w:footer="0" w:gutter="0" w:header="708" w:left="1134" w:right="1134" w:top="1701"/>
      <w:pgNumType w:fmt="decimal"/>
      <w:formProt w:val="false"/>
      <w:textDirection w:val="lrTb"/>
      <w:docGrid w:charSpace="-2049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8"/>
    </w:pPr>
    <w:r>
      <w:rPr>
        <w:u w:val="single"/>
      </w:rPr>
    </w:r>
  </w:p>
  <w:p>
    <w:pPr>
      <w:pStyle w:val="style28"/>
    </w:pPr>
    <w:r>
      <w:rPr>
        <w:u w:val="single"/>
      </w:rPr>
    </w:r>
  </w:p>
  <w:p>
    <w:pPr>
      <w:pStyle w:val="style28"/>
    </w:pPr>
    <w:r>
      <w:rPr>
        <w:u w:val="single"/>
      </w:rPr>
    </w:r>
  </w:p>
  <w:p>
    <w:pPr>
      <w:pStyle w:val="style28"/>
      <w:jc w:val="center"/>
    </w:pPr>
    <w:r>
      <w:rPr>
        <w:u w:val="single"/>
      </w:rPr>
      <w:t>МОНИТОРИНГ  ГОТОВНОСТИ ВВЕДЕНИЯ  ФГОС  МБДОУ « Детский сад №11 «Колокольчик»</w:t>
    </w:r>
  </w:p>
  <w:p>
    <w:pPr>
      <w:pStyle w:val="style28"/>
    </w:pPr>
    <w:r>
      <w:rPr/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tabs>
          <w:tab w:pos="644" w:val="num"/>
        </w:tabs>
        <w:ind w:hanging="360" w:left="644"/>
      </w:pPr>
      <w:rPr/>
    </w:lvl>
    <w:lvl w:ilvl="1">
      <w:start w:val="1"/>
      <w:numFmt w:val="lowerLetter"/>
      <w:lvlText w:val="%2."/>
      <w:lvlJc w:val="left"/>
      <w:pPr>
        <w:tabs>
          <w:tab w:pos="1440" w:val="num"/>
        </w:tabs>
        <w:ind w:hanging="360" w:left="1440"/>
      </w:pPr>
      <w:rPr/>
    </w:lvl>
    <w:lvl w:ilvl="2">
      <w:start w:val="1"/>
      <w:numFmt w:val="lowerRoman"/>
      <w:lvlText w:val="%2.%3."/>
      <w:lvlJc w:val="right"/>
      <w:pPr>
        <w:tabs>
          <w:tab w:pos="2160" w:val="num"/>
        </w:tabs>
        <w:ind w:hanging="180" w:left="2160"/>
      </w:pPr>
      <w:rPr/>
    </w:lvl>
    <w:lvl w:ilvl="3">
      <w:start w:val="1"/>
      <w:numFmt w:val="decimal"/>
      <w:lvlText w:val="%2.%3.%4."/>
      <w:lvlJc w:val="left"/>
      <w:pPr>
        <w:tabs>
          <w:tab w:pos="2880" w:val="num"/>
        </w:tabs>
        <w:ind w:hanging="360" w:left="2880"/>
      </w:pPr>
      <w:rPr/>
    </w:lvl>
    <w:lvl w:ilvl="4">
      <w:start w:val="1"/>
      <w:numFmt w:val="lowerLetter"/>
      <w:lvlText w:val="%2.%3.%4.%5."/>
      <w:lvlJc w:val="left"/>
      <w:pPr>
        <w:tabs>
          <w:tab w:pos="3600" w:val="num"/>
        </w:tabs>
        <w:ind w:hanging="360" w:left="3600"/>
      </w:pPr>
      <w:rPr/>
    </w:lvl>
    <w:lvl w:ilvl="5">
      <w:start w:val="1"/>
      <w:numFmt w:val="lowerRoman"/>
      <w:lvlText w:val="%2.%3.%4.%5.%6."/>
      <w:lvlJc w:val="right"/>
      <w:pPr>
        <w:tabs>
          <w:tab w:pos="4320" w:val="num"/>
        </w:tabs>
        <w:ind w:hanging="180" w:left="4320"/>
      </w:pPr>
      <w:rPr/>
    </w:lvl>
    <w:lvl w:ilvl="6">
      <w:start w:val="1"/>
      <w:numFmt w:val="decimal"/>
      <w:lvlText w:val="%2.%3.%4.%5.%6.%7."/>
      <w:lvlJc w:val="left"/>
      <w:pPr>
        <w:tabs>
          <w:tab w:pos="5040" w:val="num"/>
        </w:tabs>
        <w:ind w:hanging="360" w:left="5040"/>
      </w:pPr>
      <w:rPr/>
    </w:lvl>
    <w:lvl w:ilvl="7">
      <w:start w:val="1"/>
      <w:numFmt w:val="lowerLetter"/>
      <w:lvlText w:val="%2.%3.%4.%5.%6.%7.%8."/>
      <w:lvlJc w:val="left"/>
      <w:pPr>
        <w:tabs>
          <w:tab w:pos="5760" w:val="num"/>
        </w:tabs>
        <w:ind w:hanging="360" w:left="5760"/>
      </w:pPr>
      <w:rPr/>
    </w:lvl>
    <w:lvl w:ilvl="8">
      <w:start w:val="1"/>
      <w:numFmt w:val="lowerRoman"/>
      <w:lvlText w:val="%2.%3.%4.%5.%6.%7.%8.%9."/>
      <w:lvlJc w:val="right"/>
      <w:pPr>
        <w:tabs>
          <w:tab w:pos="6480" w:val="num"/>
        </w:tabs>
        <w:ind w:hanging="180" w:left="64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" w:eastAsia="SimSun" w:hAnsi="Calibri"/>
      <w:color w:val="auto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Интернет-ссылка"/>
    <w:basedOn w:val="style15"/>
    <w:next w:val="style16"/>
    <w:rPr>
      <w:color w:val="0000FF"/>
      <w:u w:val="single"/>
      <w:lang w:bidi="ru-RU" w:eastAsia="ru-RU" w:val="ru-RU"/>
    </w:rPr>
  </w:style>
  <w:style w:styleId="style17" w:type="character">
    <w:name w:val="Текст выноски Знак"/>
    <w:basedOn w:val="style15"/>
    <w:next w:val="style17"/>
    <w:rPr>
      <w:rFonts w:ascii="Tahoma" w:cs="Tahoma" w:hAnsi="Tahoma"/>
      <w:sz w:val="16"/>
      <w:szCs w:val="16"/>
    </w:rPr>
  </w:style>
  <w:style w:styleId="style18" w:type="character">
    <w:name w:val="Верхний колонтитул Знак"/>
    <w:basedOn w:val="style15"/>
    <w:next w:val="style18"/>
    <w:rPr/>
  </w:style>
  <w:style w:styleId="style19" w:type="character">
    <w:name w:val="Нижний колонтитул Знак"/>
    <w:basedOn w:val="style15"/>
    <w:next w:val="style19"/>
    <w:rPr/>
  </w:style>
  <w:style w:styleId="style20" w:type="character">
    <w:name w:val="ListLabel 1"/>
    <w:next w:val="style20"/>
    <w:rPr>
      <w:rFonts w:cs="Times New Roman"/>
    </w:rPr>
  </w:style>
  <w:style w:styleId="style21" w:type="paragraph">
    <w:name w:val="Заголовок"/>
    <w:basedOn w:val="style0"/>
    <w:next w:val="style22"/>
    <w:pPr>
      <w:keepNext/>
      <w:spacing w:after="120" w:before="240"/>
    </w:pPr>
    <w:rPr>
      <w:rFonts w:ascii="Arial" w:cs="Mangal" w:eastAsia="Microsoft YaHei" w:hAnsi="Arial"/>
      <w:sz w:val="28"/>
      <w:szCs w:val="28"/>
    </w:rPr>
  </w:style>
  <w:style w:styleId="style22" w:type="paragraph">
    <w:name w:val="Основной текст"/>
    <w:basedOn w:val="style0"/>
    <w:next w:val="style22"/>
    <w:pPr>
      <w:spacing w:after="120" w:before="0"/>
    </w:pPr>
    <w:rPr/>
  </w:style>
  <w:style w:styleId="style23" w:type="paragraph">
    <w:name w:val="Список"/>
    <w:basedOn w:val="style22"/>
    <w:next w:val="style23"/>
    <w:pPr/>
    <w:rPr>
      <w:rFonts w:cs="Mangal"/>
    </w:rPr>
  </w:style>
  <w:style w:styleId="style24" w:type="paragraph">
    <w:name w:val="Название"/>
    <w:basedOn w:val="style0"/>
    <w:next w:val="style24"/>
    <w:pPr>
      <w:suppressLineNumbers/>
      <w:spacing w:after="120" w:before="120"/>
    </w:pPr>
    <w:rPr>
      <w:rFonts w:cs="Mangal"/>
      <w:i/>
      <w:iCs/>
      <w:sz w:val="24"/>
      <w:szCs w:val="24"/>
    </w:rPr>
  </w:style>
  <w:style w:styleId="style25" w:type="paragraph">
    <w:name w:val="Указатель"/>
    <w:basedOn w:val="style0"/>
    <w:next w:val="style25"/>
    <w:pPr>
      <w:suppressLineNumbers/>
    </w:pPr>
    <w:rPr>
      <w:rFonts w:cs="Mangal"/>
    </w:rPr>
  </w:style>
  <w:style w:styleId="style26" w:type="paragraph">
    <w:name w:val="No Spacing"/>
    <w:next w:val="style26"/>
    <w:pPr>
      <w:widowControl w:val="false"/>
      <w:tabs>
        <w:tab w:leader="none" w:pos="708" w:val="left"/>
      </w:tabs>
      <w:suppressAutoHyphens w:val="true"/>
      <w:spacing w:after="0" w:before="0" w:line="100" w:lineRule="atLeast"/>
    </w:pPr>
    <w:rPr>
      <w:rFonts w:ascii="Calibri" w:cs="Calibri" w:eastAsia="Times New Roman" w:hAnsi="Calibri"/>
      <w:color w:val="auto"/>
      <w:sz w:val="20"/>
      <w:szCs w:val="20"/>
      <w:lang w:bidi="ar-SA" w:eastAsia="ru-RU" w:val="ru-RU"/>
    </w:rPr>
  </w:style>
  <w:style w:styleId="style27" w:type="paragraph">
    <w:name w:val="Balloon Text"/>
    <w:basedOn w:val="style0"/>
    <w:next w:val="style27"/>
    <w:pPr>
      <w:spacing w:after="0" w:before="0" w:line="100" w:lineRule="atLeast"/>
    </w:pPr>
    <w:rPr>
      <w:rFonts w:ascii="Tahoma" w:cs="Tahoma" w:hAnsi="Tahoma"/>
      <w:sz w:val="16"/>
      <w:szCs w:val="16"/>
    </w:rPr>
  </w:style>
  <w:style w:styleId="style28" w:type="paragraph">
    <w:name w:val="Верхний колонтитул"/>
    <w:basedOn w:val="style0"/>
    <w:next w:val="style28"/>
    <w:pPr>
      <w:suppressLineNumbers/>
      <w:tabs>
        <w:tab w:leader="none" w:pos="4677" w:val="center"/>
        <w:tab w:leader="none" w:pos="9355" w:val="right"/>
      </w:tabs>
      <w:spacing w:after="0" w:before="0" w:line="100" w:lineRule="atLeast"/>
    </w:pPr>
    <w:rPr/>
  </w:style>
  <w:style w:styleId="style29" w:type="paragraph">
    <w:name w:val="Нижний колонтитул"/>
    <w:basedOn w:val="style0"/>
    <w:next w:val="style29"/>
    <w:pPr>
      <w:suppressLineNumbers/>
      <w:tabs>
        <w:tab w:leader="none" w:pos="4677" w:val="center"/>
        <w:tab w:leader="none" w:pos="9355" w:val="right"/>
      </w:tabs>
      <w:spacing w:after="0" w:before="0" w:line="100" w:lineRule="atLeast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sportal.ru/site/mbdou-detskiy-sad-kombinirovannogo-vida-no2-skazka" TargetMode="External"/><Relationship Id="rId3" Type="http://schemas.openxmlformats.org/officeDocument/2006/relationships/hyperlink" Target="http://nsportal.ru/site/mbdou-detskiy-sad-kombinirovannogo-vida-no2-skazka" TargetMode="External"/><Relationship Id="rId4" Type="http://schemas.openxmlformats.org/officeDocument/2006/relationships/hyperlink" Target="http://nsportal.ru/site/mbdou-detskiy-sad-kombinirovannogo-vida-no2-skazka" TargetMode="External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2014-03-21T08:56:00.00Z</dcterms:created>
  <dc:creator>Admin</dc:creator>
  <cp:lastModifiedBy>Лариса</cp:lastModifiedBy>
  <cp:lastPrinted>2014-04-07T01:52:00.00Z</cp:lastPrinted>
  <dcterms:modified xsi:type="dcterms:W3CDTF">2014-11-30T04:07:00.00Z</dcterms:modified>
  <cp:revision>22</cp:revision>
</cp:coreProperties>
</file>